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5D5B" w14:textId="14F13889" w:rsidR="000761B3" w:rsidRDefault="000761B3" w:rsidP="000761B3">
      <w:pPr>
        <w:spacing w:before="120" w:after="80"/>
        <w:jc w:val="center"/>
        <w:outlineLvl w:val="1"/>
        <w:rPr>
          <w:rFonts w:ascii="Arial Narrow" w:hAnsi="Arial Narrow" w:cs="Times New Roman"/>
          <w:b/>
          <w:color w:val="000000"/>
          <w:sz w:val="28"/>
          <w:szCs w:val="20"/>
        </w:rPr>
      </w:pPr>
      <w:r w:rsidRPr="00C60CB1">
        <w:rPr>
          <w:rFonts w:ascii="Arial Narrow" w:hAnsi="Arial Narrow" w:cs="Times New Roman"/>
          <w:b/>
          <w:color w:val="000000"/>
          <w:sz w:val="28"/>
          <w:szCs w:val="20"/>
        </w:rPr>
        <w:t>Supplément en ligne</w:t>
      </w:r>
    </w:p>
    <w:p w14:paraId="0512ADA0" w14:textId="389B7C09" w:rsidR="000761B3" w:rsidRDefault="000761B3" w:rsidP="000761B3">
      <w:pPr>
        <w:spacing w:before="120" w:after="80"/>
        <w:jc w:val="center"/>
        <w:outlineLvl w:val="1"/>
        <w:rPr>
          <w:rFonts w:ascii="Arial Narrow" w:hAnsi="Arial Narrow" w:cs="Times New Roman"/>
          <w:b/>
          <w:color w:val="000000"/>
          <w:sz w:val="28"/>
          <w:szCs w:val="20"/>
        </w:rPr>
      </w:pPr>
    </w:p>
    <w:p w14:paraId="546F7087" w14:textId="77777777" w:rsidR="000761B3" w:rsidRDefault="000761B3" w:rsidP="000761B3">
      <w:pPr>
        <w:spacing w:before="120" w:after="80"/>
        <w:jc w:val="center"/>
        <w:outlineLvl w:val="1"/>
        <w:rPr>
          <w:rFonts w:ascii="Arial Narrow" w:hAnsi="Arial Narrow" w:cs="Times New Roman"/>
          <w:color w:val="000000"/>
          <w:szCs w:val="20"/>
        </w:rPr>
      </w:pPr>
      <w:r w:rsidRPr="000761B3">
        <w:rPr>
          <w:rFonts w:ascii="Arial Narrow" w:hAnsi="Arial Narrow" w:cs="Times New Roman"/>
          <w:color w:val="000000"/>
          <w:szCs w:val="20"/>
        </w:rPr>
        <w:t xml:space="preserve">Les ouvriers vivent moins longtemps que les cadres : </w:t>
      </w:r>
      <w:r>
        <w:rPr>
          <w:rFonts w:ascii="Arial Narrow" w:hAnsi="Arial Narrow" w:cs="Times New Roman"/>
          <w:color w:val="000000"/>
          <w:szCs w:val="20"/>
        </w:rPr>
        <w:br/>
      </w:r>
      <w:r w:rsidRPr="000761B3">
        <w:rPr>
          <w:rFonts w:ascii="Arial Narrow" w:hAnsi="Arial Narrow" w:cs="Times New Roman"/>
          <w:color w:val="000000"/>
          <w:szCs w:val="20"/>
        </w:rPr>
        <w:t>combien de temps passent-ils à la retraite et en (in)</w:t>
      </w:r>
      <w:proofErr w:type="gramStart"/>
      <w:r w:rsidRPr="000761B3">
        <w:rPr>
          <w:rFonts w:ascii="Arial Narrow" w:hAnsi="Arial Narrow" w:cs="Times New Roman"/>
          <w:color w:val="000000"/>
          <w:szCs w:val="20"/>
        </w:rPr>
        <w:t>activité?</w:t>
      </w:r>
      <w:proofErr w:type="gramEnd"/>
    </w:p>
    <w:p w14:paraId="502E57C4" w14:textId="523CD3F1" w:rsidR="000761B3" w:rsidRDefault="000761B3" w:rsidP="000761B3">
      <w:pPr>
        <w:spacing w:before="120" w:after="80"/>
        <w:jc w:val="center"/>
        <w:outlineLvl w:val="1"/>
        <w:rPr>
          <w:rFonts w:ascii="Arial Narrow" w:hAnsi="Arial Narrow" w:cs="Times New Roman"/>
          <w:color w:val="000000"/>
          <w:szCs w:val="20"/>
        </w:rPr>
      </w:pPr>
      <w:r w:rsidRPr="000761B3">
        <w:rPr>
          <w:rFonts w:ascii="Arial Narrow" w:hAnsi="Arial Narrow" w:cs="Times New Roman"/>
          <w:color w:val="000000"/>
          <w:szCs w:val="20"/>
        </w:rPr>
        <w:t xml:space="preserve"> Florian Bonnet, Carlo-Giovanni </w:t>
      </w:r>
      <w:proofErr w:type="spellStart"/>
      <w:r w:rsidRPr="000761B3">
        <w:rPr>
          <w:rFonts w:ascii="Arial Narrow" w:hAnsi="Arial Narrow" w:cs="Times New Roman"/>
          <w:color w:val="000000"/>
          <w:szCs w:val="20"/>
        </w:rPr>
        <w:t>Camarda</w:t>
      </w:r>
      <w:proofErr w:type="spellEnd"/>
      <w:r w:rsidRPr="000761B3">
        <w:rPr>
          <w:rFonts w:ascii="Arial Narrow" w:hAnsi="Arial Narrow" w:cs="Times New Roman"/>
          <w:color w:val="000000"/>
          <w:szCs w:val="20"/>
        </w:rPr>
        <w:t>, Emmanuelle Cambois</w:t>
      </w:r>
      <w:r>
        <w:rPr>
          <w:rFonts w:ascii="Arial Narrow" w:hAnsi="Arial Narrow" w:cs="Times New Roman"/>
          <w:color w:val="000000"/>
          <w:szCs w:val="20"/>
        </w:rPr>
        <w:t xml:space="preserve"> et </w:t>
      </w:r>
      <w:r w:rsidRPr="000761B3">
        <w:rPr>
          <w:rFonts w:ascii="Arial Narrow" w:hAnsi="Arial Narrow" w:cs="Times New Roman"/>
          <w:color w:val="000000"/>
          <w:szCs w:val="20"/>
        </w:rPr>
        <w:t>Ophélie Merville</w:t>
      </w:r>
    </w:p>
    <w:p w14:paraId="3FF245DA" w14:textId="032C2905" w:rsidR="000761B3" w:rsidRPr="000761B3" w:rsidRDefault="000761B3" w:rsidP="000761B3">
      <w:pPr>
        <w:spacing w:before="120" w:after="80"/>
        <w:jc w:val="center"/>
        <w:outlineLvl w:val="1"/>
        <w:rPr>
          <w:rFonts w:ascii="Arial Narrow" w:hAnsi="Arial Narrow" w:cs="Times New Roman"/>
          <w:color w:val="000000"/>
          <w:szCs w:val="20"/>
        </w:rPr>
      </w:pPr>
      <w:r w:rsidRPr="000761B3">
        <w:rPr>
          <w:rFonts w:ascii="Arial Narrow" w:hAnsi="Arial Narrow" w:cs="Times New Roman"/>
          <w:i/>
          <w:iCs/>
          <w:color w:val="000000"/>
          <w:szCs w:val="20"/>
        </w:rPr>
        <w:t>Population &amp; Sociétés</w:t>
      </w:r>
      <w:r w:rsidRPr="000761B3">
        <w:rPr>
          <w:rFonts w:ascii="Arial Narrow" w:hAnsi="Arial Narrow" w:cs="Times New Roman"/>
          <w:color w:val="000000"/>
          <w:szCs w:val="20"/>
        </w:rPr>
        <w:t>, 2023, n°611</w:t>
      </w:r>
    </w:p>
    <w:p w14:paraId="28CD2058" w14:textId="77777777" w:rsidR="000761B3" w:rsidRDefault="000761B3" w:rsidP="000761B3">
      <w:pPr>
        <w:spacing w:before="120" w:after="80"/>
        <w:outlineLvl w:val="1"/>
        <w:rPr>
          <w:rFonts w:ascii="Arial Narrow" w:hAnsi="Arial Narrow" w:cs="Times New Roman"/>
          <w:color w:val="000000"/>
          <w:szCs w:val="20"/>
        </w:rPr>
      </w:pPr>
    </w:p>
    <w:p w14:paraId="608E37F6" w14:textId="029BA9C8" w:rsidR="000761B3" w:rsidRDefault="000761B3" w:rsidP="000761B3">
      <w:pPr>
        <w:spacing w:before="120" w:after="80"/>
        <w:outlineLvl w:val="1"/>
        <w:rPr>
          <w:rFonts w:ascii="Arial Narrow" w:hAnsi="Arial Narrow" w:cs="Times New Roman"/>
          <w:color w:val="000000"/>
          <w:szCs w:val="20"/>
        </w:rPr>
      </w:pPr>
      <w:r>
        <w:rPr>
          <w:rFonts w:ascii="Arial Narrow" w:hAnsi="Arial Narrow" w:cs="Times New Roman"/>
          <w:color w:val="000000"/>
          <w:szCs w:val="20"/>
        </w:rPr>
        <w:t>La</w:t>
      </w:r>
      <w:r w:rsidRPr="001C2E32">
        <w:rPr>
          <w:rFonts w:ascii="Arial Narrow" w:hAnsi="Arial Narrow" w:cs="Times New Roman"/>
          <w:color w:val="000000"/>
          <w:szCs w:val="20"/>
        </w:rPr>
        <w:t xml:space="preserve"> mortalité par CSP </w:t>
      </w:r>
      <w:r>
        <w:rPr>
          <w:rFonts w:ascii="Arial Narrow" w:hAnsi="Arial Narrow" w:cs="Times New Roman"/>
          <w:color w:val="000000"/>
          <w:szCs w:val="20"/>
        </w:rPr>
        <w:t>de l'étude est estimée à partir des données excluant</w:t>
      </w:r>
      <w:r w:rsidRPr="001C2E32">
        <w:rPr>
          <w:rFonts w:ascii="Arial Narrow" w:hAnsi="Arial Narrow" w:cs="Times New Roman"/>
          <w:color w:val="000000"/>
          <w:szCs w:val="20"/>
        </w:rPr>
        <w:t xml:space="preserve"> les </w:t>
      </w:r>
      <w:r>
        <w:rPr>
          <w:rFonts w:ascii="Arial Narrow" w:hAnsi="Arial Narrow" w:cs="Times New Roman"/>
          <w:color w:val="000000"/>
          <w:szCs w:val="20"/>
        </w:rPr>
        <w:t xml:space="preserve">individus se déclarant </w:t>
      </w:r>
      <w:r w:rsidRPr="001C2E32">
        <w:rPr>
          <w:rFonts w:ascii="Arial Narrow" w:hAnsi="Arial Narrow" w:cs="Times New Roman"/>
          <w:color w:val="000000"/>
          <w:szCs w:val="20"/>
        </w:rPr>
        <w:t>inactifs</w:t>
      </w:r>
      <w:r>
        <w:rPr>
          <w:rFonts w:ascii="Arial Narrow" w:hAnsi="Arial Narrow" w:cs="Times New Roman"/>
          <w:color w:val="000000"/>
          <w:szCs w:val="20"/>
        </w:rPr>
        <w:t xml:space="preserve"> (hors retraite)</w:t>
      </w:r>
      <w:r w:rsidRPr="001C2E32">
        <w:rPr>
          <w:rFonts w:ascii="Arial Narrow" w:hAnsi="Arial Narrow" w:cs="Times New Roman"/>
          <w:color w:val="000000"/>
          <w:szCs w:val="20"/>
        </w:rPr>
        <w:t xml:space="preserve">, faute d'information </w:t>
      </w:r>
      <w:r>
        <w:rPr>
          <w:rFonts w:ascii="Arial Narrow" w:hAnsi="Arial Narrow" w:cs="Times New Roman"/>
          <w:color w:val="000000"/>
          <w:szCs w:val="20"/>
        </w:rPr>
        <w:t xml:space="preserve">sur leur ancienne CSP </w:t>
      </w:r>
      <w:r w:rsidRPr="001C2E32">
        <w:rPr>
          <w:rFonts w:ascii="Arial Narrow" w:hAnsi="Arial Narrow" w:cs="Times New Roman"/>
          <w:color w:val="000000"/>
          <w:szCs w:val="20"/>
        </w:rPr>
        <w:t>dans l’ensemble des EAR utilisées</w:t>
      </w:r>
      <w:r>
        <w:rPr>
          <w:rFonts w:ascii="Arial Narrow" w:hAnsi="Arial Narrow" w:cs="Times New Roman"/>
          <w:color w:val="000000"/>
          <w:szCs w:val="20"/>
        </w:rPr>
        <w:t>. Le tableau 1 présente les différences de répartition de la population avec et sans les inactifs. Un</w:t>
      </w:r>
      <w:r w:rsidRPr="001C2E32">
        <w:rPr>
          <w:rFonts w:ascii="Arial Narrow" w:hAnsi="Arial Narrow" w:cs="Times New Roman"/>
          <w:color w:val="000000"/>
          <w:szCs w:val="20"/>
        </w:rPr>
        <w:t xml:space="preserve"> test de robustesse </w:t>
      </w:r>
      <w:r>
        <w:rPr>
          <w:rFonts w:ascii="Arial Narrow" w:hAnsi="Arial Narrow" w:cs="Times New Roman"/>
          <w:color w:val="000000"/>
          <w:szCs w:val="20"/>
        </w:rPr>
        <w:t xml:space="preserve">sur </w:t>
      </w:r>
      <w:r w:rsidRPr="001C2E32">
        <w:rPr>
          <w:rFonts w:ascii="Arial Narrow" w:hAnsi="Arial Narrow" w:cs="Times New Roman"/>
          <w:color w:val="000000"/>
          <w:szCs w:val="20"/>
        </w:rPr>
        <w:t xml:space="preserve">les EAR 2016-2019 réintégrant </w:t>
      </w:r>
      <w:r>
        <w:rPr>
          <w:rFonts w:ascii="Arial Narrow" w:hAnsi="Arial Narrow" w:cs="Times New Roman"/>
          <w:color w:val="000000"/>
          <w:szCs w:val="20"/>
        </w:rPr>
        <w:t xml:space="preserve">les inactifs dans leur ancienne CSP </w:t>
      </w:r>
      <w:r w:rsidRPr="001C2E32">
        <w:rPr>
          <w:rFonts w:ascii="Arial Narrow" w:hAnsi="Arial Narrow" w:cs="Times New Roman"/>
          <w:color w:val="000000"/>
          <w:szCs w:val="20"/>
        </w:rPr>
        <w:t xml:space="preserve">montre que les espérances de vie sont légèrement plus </w:t>
      </w:r>
      <w:r>
        <w:rPr>
          <w:rFonts w:ascii="Arial Narrow" w:hAnsi="Arial Narrow" w:cs="Times New Roman"/>
          <w:color w:val="000000"/>
          <w:szCs w:val="20"/>
        </w:rPr>
        <w:t>faibles</w:t>
      </w:r>
      <w:r w:rsidRPr="001C2E32">
        <w:rPr>
          <w:rFonts w:ascii="Arial Narrow" w:hAnsi="Arial Narrow" w:cs="Times New Roman"/>
          <w:color w:val="000000"/>
          <w:szCs w:val="20"/>
        </w:rPr>
        <w:t xml:space="preserve"> et les écarts entre cadres et ouvriers légèrement plus importants, sans modifier les conclusions.</w:t>
      </w:r>
    </w:p>
    <w:p w14:paraId="6004B960" w14:textId="77777777" w:rsidR="000761B3" w:rsidRPr="00C60CB1" w:rsidRDefault="000761B3" w:rsidP="000761B3">
      <w:pPr>
        <w:spacing w:before="120" w:after="80"/>
        <w:outlineLvl w:val="1"/>
        <w:rPr>
          <w:rFonts w:ascii="Arial Narrow" w:hAnsi="Arial Narrow" w:cs="Times New Roman"/>
          <w:b/>
          <w:color w:val="000000"/>
          <w:sz w:val="28"/>
          <w:szCs w:val="20"/>
        </w:rPr>
      </w:pPr>
    </w:p>
    <w:p w14:paraId="4B05B248" w14:textId="77777777" w:rsidR="000761B3" w:rsidRPr="001C2E32" w:rsidRDefault="000761B3" w:rsidP="000761B3">
      <w:pPr>
        <w:spacing w:before="120"/>
        <w:jc w:val="center"/>
        <w:rPr>
          <w:rFonts w:ascii="Arial Narrow" w:hAnsi="Arial Narrow" w:cs="Times New Roman"/>
          <w:b/>
          <w:bCs/>
          <w:color w:val="000000"/>
          <w:szCs w:val="20"/>
        </w:rPr>
      </w:pPr>
      <w:r w:rsidRPr="001C2E32">
        <w:rPr>
          <w:rFonts w:ascii="Arial Narrow" w:hAnsi="Arial Narrow" w:cs="Times New Roman"/>
          <w:b/>
          <w:bCs/>
          <w:color w:val="000000"/>
          <w:szCs w:val="20"/>
        </w:rPr>
        <w:t>Tableau 1. Proportion des populations masculine et féminine dans les 5 catégories socioprofessionnelles issues de l'EDP (avec et sans l'inclusion des inactifs hors retraités)</w:t>
      </w:r>
    </w:p>
    <w:p w14:paraId="34954CCC" w14:textId="77777777" w:rsidR="000761B3" w:rsidRPr="001C2E32" w:rsidRDefault="000761B3" w:rsidP="000761B3">
      <w:pPr>
        <w:jc w:val="center"/>
        <w:rPr>
          <w:rFonts w:ascii="Arial Narrow" w:hAnsi="Arial Narrow" w:cs="Times New Roman"/>
          <w:b/>
          <w:szCs w:val="20"/>
        </w:rPr>
      </w:pPr>
      <w:r w:rsidRPr="001C2E32">
        <w:rPr>
          <w:rFonts w:ascii="Arial Narrow" w:hAnsi="Arial Narrow" w:cs="Times New Roman"/>
          <w:b/>
          <w:bCs/>
          <w:color w:val="000000"/>
          <w:szCs w:val="20"/>
        </w:rPr>
        <w:t>Hommes et femmes de plus de 35 ans.</w:t>
      </w: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300"/>
        <w:gridCol w:w="1300"/>
        <w:gridCol w:w="1558"/>
        <w:gridCol w:w="1300"/>
      </w:tblGrid>
      <w:tr w:rsidR="000761B3" w:rsidRPr="001C2E32" w14:paraId="0A6EF657" w14:textId="77777777" w:rsidTr="00E1753A">
        <w:trPr>
          <w:trHeight w:val="61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0360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gridSpan w:val="4"/>
            <w:tcBorders>
              <w:top w:val="nil"/>
              <w:left w:val="nil"/>
              <w:bottom w:val="single" w:sz="8" w:space="0" w:color="CBBCA7"/>
              <w:right w:val="nil"/>
            </w:tcBorders>
            <w:shd w:val="clear" w:color="auto" w:fill="auto"/>
            <w:vAlign w:val="bottom"/>
            <w:hideMark/>
          </w:tcPr>
          <w:p w14:paraId="217E6ED7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</w:tr>
      <w:tr w:rsidR="000761B3" w:rsidRPr="001C2E32" w14:paraId="62C675A1" w14:textId="77777777" w:rsidTr="00E1753A">
        <w:trPr>
          <w:trHeight w:val="55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CBBCA7"/>
            </w:tcBorders>
            <w:shd w:val="clear" w:color="auto" w:fill="auto"/>
            <w:noWrap/>
            <w:vAlign w:val="bottom"/>
            <w:hideMark/>
          </w:tcPr>
          <w:p w14:paraId="5DED1EFA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5458" w:type="dxa"/>
            <w:gridSpan w:val="4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CCA3F93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Répartition de la population des 35 ans et plus </w:t>
            </w:r>
          </w:p>
          <w:p w14:paraId="25F5D3AE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proofErr w:type="gramStart"/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selon</w:t>
            </w:r>
            <w:proofErr w:type="gramEnd"/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les CSP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:</w:t>
            </w:r>
          </w:p>
        </w:tc>
      </w:tr>
      <w:tr w:rsidR="000761B3" w:rsidRPr="001C2E32" w14:paraId="2DDADEEB" w14:textId="77777777" w:rsidTr="00E1753A">
        <w:trPr>
          <w:trHeight w:val="97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CBBCA7"/>
            </w:tcBorders>
            <w:shd w:val="clear" w:color="auto" w:fill="auto"/>
            <w:noWrap/>
            <w:vAlign w:val="bottom"/>
            <w:hideMark/>
          </w:tcPr>
          <w:p w14:paraId="729B7CE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hideMark/>
          </w:tcPr>
          <w:p w14:paraId="52137479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issue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des EAR 2013-2019 : </w:t>
            </w: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les inactifs au moment du recensement sont classés en "hors emploi" (6)*</w:t>
            </w:r>
          </w:p>
        </w:tc>
        <w:tc>
          <w:tcPr>
            <w:tcW w:w="2858" w:type="dxa"/>
            <w:gridSpan w:val="2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F68159B" w14:textId="77777777" w:rsidR="000761B3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issue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de l'EAR 2018 : </w:t>
            </w:r>
          </w:p>
          <w:p w14:paraId="6711B85E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proofErr w:type="gramStart"/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les</w:t>
            </w:r>
            <w:proofErr w:type="gramEnd"/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inactifs au moment du recensement sont classée dans leur ancienne CSP s'ils ont déjà travaillé **</w:t>
            </w:r>
          </w:p>
        </w:tc>
      </w:tr>
      <w:tr w:rsidR="000761B3" w:rsidRPr="001C2E32" w14:paraId="09ECCF38" w14:textId="77777777" w:rsidTr="00E1753A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noWrap/>
            <w:vAlign w:val="bottom"/>
            <w:hideMark/>
          </w:tcPr>
          <w:p w14:paraId="40A69F02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532EEE0F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Hommes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A6FA99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Femmes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38C9CE29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Hommes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30F6DF99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Femmes</w:t>
            </w:r>
          </w:p>
        </w:tc>
      </w:tr>
      <w:tr w:rsidR="000761B3" w:rsidRPr="001C2E32" w14:paraId="07B696AE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5CD65AA1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(1) cadres et professions intellectuelles supérieures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65FB0AD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18.1%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0099CB0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9.7%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BCCDC7C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18.3%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0D336501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9.8%</w:t>
            </w:r>
          </w:p>
        </w:tc>
      </w:tr>
      <w:tr w:rsidR="000761B3" w:rsidRPr="001C2E32" w14:paraId="5FC9AF4C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02BF5759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(2) professions indépendantes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0186A569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13.6%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58469D7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6.9%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3DD2C8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14.1%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3701EC0E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7.0%</w:t>
            </w:r>
          </w:p>
        </w:tc>
      </w:tr>
      <w:tr w:rsidR="000761B3" w:rsidRPr="001C2E32" w14:paraId="092E6E2B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5756EB1F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(3) professions intermédiaires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3C86EF69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21.7%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1F9B5F3F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23.4%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6A1AE08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21.6%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39E40F3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23.7%</w:t>
            </w:r>
          </w:p>
        </w:tc>
      </w:tr>
      <w:tr w:rsidR="000761B3" w:rsidRPr="001C2E32" w14:paraId="098C61EC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55450A76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(4) employés qualifiés et non qualifiés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54AF3C77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12.3%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1AF74C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40.8%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31FBE14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12.6%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13CBB932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42.3%</w:t>
            </w:r>
          </w:p>
        </w:tc>
      </w:tr>
      <w:tr w:rsidR="000761B3" w:rsidRPr="001C2E32" w14:paraId="67070487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9955B65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(5) ouvriers qualifiés et non qualifiés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1E02888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30.4%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2F7FA008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10.1%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E2B1657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30.9%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604F3BA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10.5%</w:t>
            </w:r>
          </w:p>
        </w:tc>
      </w:tr>
      <w:tr w:rsidR="000761B3" w:rsidRPr="001C2E32" w14:paraId="2E2014E3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1345A6B5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(6) hors emploi (sans profession déclarée)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7219244D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4.0%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499280CE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9.1%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146428CB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2.5%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  <w:hideMark/>
          </w:tcPr>
          <w:p w14:paraId="617DB1EF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6.7%</w:t>
            </w:r>
          </w:p>
        </w:tc>
      </w:tr>
      <w:tr w:rsidR="000761B3" w:rsidRPr="001C2E32" w14:paraId="4B1B1416" w14:textId="77777777" w:rsidTr="00E1753A">
        <w:trPr>
          <w:trHeight w:val="460"/>
        </w:trPr>
        <w:tc>
          <w:tcPr>
            <w:tcW w:w="3720" w:type="dxa"/>
            <w:tcBorders>
              <w:top w:val="single" w:sz="8" w:space="0" w:color="CBBCA7"/>
              <w:left w:val="single" w:sz="8" w:space="0" w:color="CBBCA7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</w:tcPr>
          <w:p w14:paraId="1FCE13FF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Années-personnes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</w:tcPr>
          <w:p w14:paraId="3FE1D4B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539 481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</w:tcPr>
          <w:p w14:paraId="55AA1100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597 877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</w:tcPr>
          <w:p w14:paraId="785B0064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96 721</w:t>
            </w: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single" w:sz="8" w:space="0" w:color="CBBCA7"/>
              <w:right w:val="single" w:sz="8" w:space="0" w:color="CBBCA7"/>
            </w:tcBorders>
            <w:shd w:val="clear" w:color="auto" w:fill="auto"/>
            <w:vAlign w:val="center"/>
          </w:tcPr>
          <w:p w14:paraId="562B02E6" w14:textId="77777777" w:rsidR="000761B3" w:rsidRPr="001C2E32" w:rsidRDefault="000761B3" w:rsidP="00E1753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106 150</w:t>
            </w:r>
          </w:p>
        </w:tc>
      </w:tr>
      <w:tr w:rsidR="000761B3" w:rsidRPr="001C2E32" w14:paraId="6AFFD5F5" w14:textId="77777777" w:rsidTr="00E1753A">
        <w:trPr>
          <w:trHeight w:val="280"/>
        </w:trPr>
        <w:tc>
          <w:tcPr>
            <w:tcW w:w="6320" w:type="dxa"/>
            <w:gridSpan w:val="3"/>
            <w:tcBorders>
              <w:top w:val="single" w:sz="8" w:space="0" w:color="CBBCA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645C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* Pour les données utilisées dans les estimations de mortalité </w:t>
            </w:r>
          </w:p>
        </w:tc>
        <w:tc>
          <w:tcPr>
            <w:tcW w:w="1558" w:type="dxa"/>
            <w:tcBorders>
              <w:top w:val="single" w:sz="8" w:space="0" w:color="CBBCA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0B7E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CBBCA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B419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</w:p>
        </w:tc>
      </w:tr>
      <w:tr w:rsidR="000761B3" w:rsidRPr="001C2E32" w14:paraId="2799472D" w14:textId="77777777" w:rsidTr="00E1753A">
        <w:trPr>
          <w:trHeight w:val="280"/>
        </w:trPr>
        <w:tc>
          <w:tcPr>
            <w:tcW w:w="9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FEA7" w14:textId="77777777" w:rsidR="000761B3" w:rsidRPr="001C2E32" w:rsidRDefault="000761B3" w:rsidP="00E1753A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1C2E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** Pour les données utilisées dans la répartition des années de vie selon le statut d'emploi </w:t>
            </w:r>
          </w:p>
        </w:tc>
      </w:tr>
    </w:tbl>
    <w:p w14:paraId="3E4C6296" w14:textId="77777777" w:rsidR="000761B3" w:rsidRPr="001C2E32" w:rsidRDefault="000761B3" w:rsidP="000761B3">
      <w:pPr>
        <w:ind w:right="843"/>
        <w:rPr>
          <w:rFonts w:ascii="Arial Narrow" w:hAnsi="Arial Narrow" w:cs="Arial"/>
          <w:sz w:val="22"/>
          <w:szCs w:val="22"/>
        </w:rPr>
      </w:pPr>
      <w:r w:rsidRPr="001C2E32">
        <w:rPr>
          <w:rFonts w:ascii="Arial Narrow" w:hAnsi="Arial Narrow" w:cs="Arial"/>
          <w:color w:val="000000"/>
          <w:sz w:val="22"/>
          <w:szCs w:val="22"/>
        </w:rPr>
        <w:t>Échantillon démographique permanent. EAR 2013 à 2019</w:t>
      </w:r>
      <w:r>
        <w:rPr>
          <w:rFonts w:ascii="Arial Narrow" w:hAnsi="Arial Narrow" w:cs="Arial"/>
          <w:color w:val="000000"/>
          <w:sz w:val="22"/>
          <w:szCs w:val="22"/>
        </w:rPr>
        <w:t xml:space="preserve"> ou EAR 2018 seulement.</w:t>
      </w:r>
    </w:p>
    <w:p w14:paraId="136EFB26" w14:textId="77777777" w:rsidR="000761B3" w:rsidRPr="001C2E32" w:rsidRDefault="000761B3" w:rsidP="000761B3">
      <w:pPr>
        <w:ind w:right="843"/>
        <w:jc w:val="both"/>
        <w:rPr>
          <w:rFonts w:ascii="Arial Narrow" w:hAnsi="Arial Narrow" w:cs="Arial"/>
          <w:color w:val="000000"/>
          <w:sz w:val="22"/>
          <w:szCs w:val="22"/>
        </w:rPr>
      </w:pPr>
      <w:proofErr w:type="gramStart"/>
      <w:r w:rsidRPr="001C2E32">
        <w:rPr>
          <w:rFonts w:ascii="Arial Narrow" w:hAnsi="Arial Narrow" w:cs="Arial"/>
          <w:color w:val="000000"/>
          <w:sz w:val="22"/>
          <w:szCs w:val="22"/>
        </w:rPr>
        <w:t>Champ:</w:t>
      </w:r>
      <w:proofErr w:type="gramEnd"/>
      <w:r w:rsidRPr="001C2E32">
        <w:rPr>
          <w:rFonts w:ascii="Arial Narrow" w:hAnsi="Arial Narrow" w:cs="Arial"/>
          <w:color w:val="000000"/>
          <w:sz w:val="22"/>
          <w:szCs w:val="22"/>
        </w:rPr>
        <w:t xml:space="preserve"> femmes et hommes de 35 ans et plus au moment de l'échantillon annuel du recensement et selon la profession actuelle ou ancienne déclarée</w:t>
      </w:r>
      <w:r>
        <w:rPr>
          <w:rFonts w:ascii="Arial Narrow" w:hAnsi="Arial Narrow" w:cs="Arial"/>
          <w:color w:val="000000"/>
          <w:sz w:val="22"/>
          <w:szCs w:val="22"/>
        </w:rPr>
        <w:t xml:space="preserve"> (encadré 2)</w:t>
      </w:r>
      <w:r w:rsidRPr="001C2E32">
        <w:rPr>
          <w:rFonts w:ascii="Arial Narrow" w:hAnsi="Arial Narrow" w:cs="Arial"/>
          <w:color w:val="000000"/>
          <w:sz w:val="22"/>
          <w:szCs w:val="22"/>
        </w:rPr>
        <w:t>.</w:t>
      </w:r>
    </w:p>
    <w:p w14:paraId="67F8DC04" w14:textId="77777777" w:rsidR="00225A02" w:rsidRDefault="00225A02"/>
    <w:sectPr w:rsidR="0022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xOT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B3"/>
    <w:rsid w:val="000761B3"/>
    <w:rsid w:val="00225A02"/>
    <w:rsid w:val="002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0D51"/>
  <w15:chartTrackingRefBased/>
  <w15:docId w15:val="{7223EFC9-9D3F-4D82-A509-6F8235BE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B3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0761B3"/>
  </w:style>
  <w:style w:type="paragraph" w:customStyle="1" w:styleId="Default">
    <w:name w:val="Default"/>
    <w:rsid w:val="000761B3"/>
    <w:pPr>
      <w:autoSpaceDE w:val="0"/>
      <w:autoSpaceDN w:val="0"/>
      <w:adjustRightInd w:val="0"/>
      <w:spacing w:after="0" w:line="240" w:lineRule="auto"/>
    </w:pPr>
    <w:rPr>
      <w:rFonts w:ascii="MaxOT-SemiBold" w:hAnsi="MaxOT-SemiBold" w:cs="MaxOT-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1837</Characters>
  <Application>Microsoft Office Word</Application>
  <DocSecurity>0</DocSecurity>
  <Lines>15</Lines>
  <Paragraphs>4</Paragraphs>
  <ScaleCrop>false</ScaleCrop>
  <Company>INED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SOLAZ</dc:creator>
  <cp:keywords/>
  <dc:description/>
  <cp:lastModifiedBy>Anne SOLAZ</cp:lastModifiedBy>
  <cp:revision>2</cp:revision>
  <dcterms:created xsi:type="dcterms:W3CDTF">2023-05-09T15:16:00Z</dcterms:created>
  <dcterms:modified xsi:type="dcterms:W3CDTF">2023-05-09T15:16:00Z</dcterms:modified>
</cp:coreProperties>
</file>